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30EE753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09583996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season – </w:t>
      </w:r>
      <w:r w:rsidR="00582652">
        <w:rPr>
          <w:rFonts w:asciiTheme="majorHAnsi" w:hAnsiTheme="majorHAnsi" w:cs="Helvetica Neue"/>
          <w:b/>
          <w:color w:val="1A1A1A"/>
          <w:sz w:val="32"/>
          <w:szCs w:val="32"/>
        </w:rPr>
        <w:t xml:space="preserve">1 </w:t>
      </w:r>
      <w:proofErr w:type="gramStart"/>
      <w:r w:rsidR="00582652">
        <w:rPr>
          <w:rFonts w:asciiTheme="majorHAnsi" w:hAnsiTheme="majorHAnsi" w:cs="Helvetica Neue"/>
          <w:b/>
          <w:color w:val="1A1A1A"/>
          <w:sz w:val="32"/>
          <w:szCs w:val="32"/>
        </w:rPr>
        <w:t>September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>,</w:t>
      </w:r>
      <w:proofErr w:type="gramEnd"/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06895E33" w:rsidR="00303C90" w:rsidRPr="00F07446" w:rsidRDefault="002155EE" w:rsidP="00F0744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281A">
        <w:rPr>
          <w:rFonts w:asciiTheme="majorHAnsi" w:hAnsiTheme="majorHAnsi"/>
          <w:sz w:val="22"/>
          <w:szCs w:val="22"/>
        </w:rPr>
        <w:t xml:space="preserve">As at </w:t>
      </w:r>
      <w:r w:rsidR="00582652">
        <w:rPr>
          <w:rFonts w:asciiTheme="majorHAnsi" w:hAnsiTheme="majorHAnsi"/>
          <w:sz w:val="22"/>
          <w:szCs w:val="22"/>
        </w:rPr>
        <w:t>27</w:t>
      </w:r>
      <w:r w:rsidR="005D75C1">
        <w:rPr>
          <w:rFonts w:asciiTheme="majorHAnsi" w:hAnsiTheme="majorHAnsi"/>
          <w:sz w:val="22"/>
          <w:szCs w:val="22"/>
        </w:rPr>
        <w:t xml:space="preserve"> August</w:t>
      </w:r>
      <w:r w:rsidR="00303C90" w:rsidRPr="00B0281A">
        <w:rPr>
          <w:rFonts w:asciiTheme="majorHAnsi" w:hAnsiTheme="majorHAnsi"/>
          <w:sz w:val="22"/>
          <w:szCs w:val="22"/>
        </w:rPr>
        <w:t>, influenza-like illness (ILI) activity in the community</w:t>
      </w:r>
      <w:r w:rsidR="00B0281A" w:rsidRPr="00B0281A">
        <w:rPr>
          <w:rFonts w:asciiTheme="majorHAnsi" w:hAnsiTheme="majorHAnsi"/>
          <w:sz w:val="22"/>
          <w:szCs w:val="22"/>
        </w:rPr>
        <w:t xml:space="preserve"> </w:t>
      </w:r>
      <w:r w:rsidR="007804DC">
        <w:rPr>
          <w:rFonts w:asciiTheme="majorHAnsi" w:hAnsiTheme="majorHAnsi"/>
          <w:sz w:val="22"/>
          <w:szCs w:val="22"/>
        </w:rPr>
        <w:t>was</w:t>
      </w:r>
      <w:r w:rsidR="006F7A12">
        <w:rPr>
          <w:rFonts w:asciiTheme="majorHAnsi" w:hAnsiTheme="majorHAnsi"/>
          <w:sz w:val="22"/>
          <w:szCs w:val="22"/>
        </w:rPr>
        <w:t xml:space="preserve"> </w:t>
      </w:r>
      <w:r w:rsidR="00C65BDE">
        <w:rPr>
          <w:rFonts w:asciiTheme="majorHAnsi" w:hAnsiTheme="majorHAnsi"/>
          <w:sz w:val="22"/>
          <w:szCs w:val="22"/>
        </w:rPr>
        <w:t>increasing</w:t>
      </w:r>
      <w:r w:rsidR="00862E6D">
        <w:rPr>
          <w:rFonts w:asciiTheme="majorHAnsi" w:hAnsiTheme="majorHAnsi"/>
          <w:sz w:val="22"/>
          <w:szCs w:val="22"/>
        </w:rPr>
        <w:t xml:space="preserve">, indicating </w:t>
      </w:r>
      <w:r w:rsidR="00582652">
        <w:rPr>
          <w:rFonts w:asciiTheme="majorHAnsi" w:hAnsiTheme="majorHAnsi"/>
          <w:sz w:val="22"/>
          <w:szCs w:val="22"/>
        </w:rPr>
        <w:t>the</w:t>
      </w:r>
      <w:r w:rsidR="007804DC">
        <w:rPr>
          <w:rFonts w:asciiTheme="majorHAnsi" w:hAnsiTheme="majorHAnsi"/>
          <w:sz w:val="22"/>
          <w:szCs w:val="22"/>
        </w:rPr>
        <w:t xml:space="preserve"> </w:t>
      </w:r>
      <w:r w:rsidR="00862E6D">
        <w:rPr>
          <w:rFonts w:asciiTheme="majorHAnsi" w:hAnsiTheme="majorHAnsi"/>
          <w:sz w:val="22"/>
          <w:szCs w:val="22"/>
        </w:rPr>
        <w:t xml:space="preserve">influenza season </w:t>
      </w:r>
      <w:r w:rsidR="00DE2D3A">
        <w:rPr>
          <w:rFonts w:asciiTheme="majorHAnsi" w:hAnsiTheme="majorHAnsi"/>
          <w:sz w:val="22"/>
          <w:szCs w:val="22"/>
        </w:rPr>
        <w:t xml:space="preserve">is </w:t>
      </w:r>
      <w:r w:rsidR="00343039">
        <w:rPr>
          <w:rFonts w:asciiTheme="majorHAnsi" w:hAnsiTheme="majorHAnsi"/>
          <w:sz w:val="22"/>
          <w:szCs w:val="22"/>
        </w:rPr>
        <w:t xml:space="preserve">well </w:t>
      </w:r>
      <w:r w:rsidR="00DE2D3A">
        <w:rPr>
          <w:rFonts w:asciiTheme="majorHAnsi" w:hAnsiTheme="majorHAnsi"/>
          <w:sz w:val="22"/>
          <w:szCs w:val="22"/>
        </w:rPr>
        <w:t>underway</w:t>
      </w:r>
      <w:r w:rsidR="00862E6D">
        <w:rPr>
          <w:rFonts w:asciiTheme="majorHAnsi" w:hAnsiTheme="majorHAnsi"/>
          <w:sz w:val="22"/>
          <w:szCs w:val="22"/>
        </w:rPr>
        <w:t xml:space="preserve"> in Victoria</w:t>
      </w:r>
      <w:r w:rsidR="00303C90" w:rsidRPr="00B0281A">
        <w:rPr>
          <w:rFonts w:asciiTheme="majorHAnsi" w:hAnsiTheme="majorHAnsi"/>
          <w:sz w:val="22"/>
          <w:szCs w:val="22"/>
        </w:rPr>
        <w:t>.</w:t>
      </w:r>
    </w:p>
    <w:p w14:paraId="56087FE1" w14:textId="768ECB83" w:rsidR="00303C90" w:rsidRPr="00582652" w:rsidRDefault="00862E6D" w:rsidP="00303C9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82652">
        <w:rPr>
          <w:rFonts w:asciiTheme="majorHAnsi" w:hAnsiTheme="majorHAnsi"/>
          <w:sz w:val="22"/>
          <w:szCs w:val="22"/>
          <w:lang w:val="en-AU"/>
        </w:rPr>
        <w:t xml:space="preserve">The increase in cases to mark the start of the season occurred earlier this year (late June) </w:t>
      </w:r>
      <w:r w:rsidR="004C4FEA" w:rsidRPr="00582652">
        <w:rPr>
          <w:rFonts w:asciiTheme="majorHAnsi" w:hAnsiTheme="majorHAnsi"/>
          <w:sz w:val="22"/>
          <w:szCs w:val="22"/>
          <w:lang w:val="en-AU"/>
        </w:rPr>
        <w:t>compared to</w:t>
      </w:r>
      <w:r w:rsidRPr="00582652">
        <w:rPr>
          <w:rFonts w:asciiTheme="majorHAnsi" w:hAnsiTheme="majorHAnsi"/>
          <w:sz w:val="22"/>
          <w:szCs w:val="22"/>
          <w:lang w:val="en-AU"/>
        </w:rPr>
        <w:t xml:space="preserve"> last year (early August)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. The rate at which ILI was diagnosed in general practice in the week ending 27 August </w:t>
      </w:r>
      <w:r w:rsidR="003425EA">
        <w:rPr>
          <w:rFonts w:asciiTheme="majorHAnsi" w:hAnsiTheme="majorHAnsi"/>
          <w:sz w:val="22"/>
          <w:szCs w:val="22"/>
          <w:lang w:val="en-AU"/>
        </w:rPr>
        <w:t xml:space="preserve">(13.7 ILI cases per 1,000 patients seen) </w:t>
      </w:r>
      <w:r w:rsidR="00582652">
        <w:rPr>
          <w:rFonts w:asciiTheme="majorHAnsi" w:hAnsiTheme="majorHAnsi"/>
          <w:sz w:val="22"/>
          <w:szCs w:val="22"/>
          <w:lang w:val="en-AU"/>
        </w:rPr>
        <w:t>was higher than it has been in the last seven years (however</w:t>
      </w:r>
      <w:r w:rsidR="002802E5">
        <w:rPr>
          <w:rFonts w:asciiTheme="majorHAnsi" w:hAnsiTheme="majorHAnsi"/>
          <w:sz w:val="22"/>
          <w:szCs w:val="22"/>
          <w:lang w:val="en-AU"/>
        </w:rPr>
        <w:t>,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 rate</w:t>
      </w:r>
      <w:r w:rsidR="003425EA">
        <w:rPr>
          <w:rFonts w:asciiTheme="majorHAnsi" w:hAnsiTheme="majorHAnsi"/>
          <w:sz w:val="22"/>
          <w:szCs w:val="22"/>
          <w:lang w:val="en-AU"/>
        </w:rPr>
        <w:t xml:space="preserve">s were 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higher </w:t>
      </w:r>
      <w:r w:rsidR="003425EA">
        <w:rPr>
          <w:rFonts w:asciiTheme="majorHAnsi" w:hAnsiTheme="majorHAnsi"/>
          <w:sz w:val="22"/>
          <w:szCs w:val="22"/>
          <w:lang w:val="en-AU"/>
        </w:rPr>
        <w:t xml:space="preserve">than this for several weeks 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in 2009). </w:t>
      </w:r>
    </w:p>
    <w:p w14:paraId="2E91449A" w14:textId="77777777" w:rsidR="00582652" w:rsidRPr="00582652" w:rsidRDefault="00582652" w:rsidP="00582652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64549329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 xml:space="preserve">The following figure and table compare the main findings from </w:t>
      </w:r>
      <w:r w:rsidR="00B04960" w:rsidRPr="001A63B0">
        <w:rPr>
          <w:rFonts w:asciiTheme="majorHAnsi" w:hAnsiTheme="majorHAnsi"/>
          <w:sz w:val="22"/>
          <w:szCs w:val="22"/>
        </w:rPr>
        <w:t xml:space="preserve">GP sentinel </w:t>
      </w:r>
      <w:r w:rsidR="00582652">
        <w:rPr>
          <w:rFonts w:asciiTheme="majorHAnsi" w:hAnsiTheme="majorHAnsi"/>
          <w:sz w:val="22"/>
          <w:szCs w:val="22"/>
        </w:rPr>
        <w:t>surveillance system</w:t>
      </w:r>
      <w:r w:rsidRPr="001A63B0">
        <w:rPr>
          <w:rFonts w:asciiTheme="majorHAnsi" w:hAnsiTheme="majorHAnsi"/>
          <w:sz w:val="22"/>
          <w:szCs w:val="22"/>
        </w:rPr>
        <w:t xml:space="preserve"> for this year and</w:t>
      </w:r>
      <w:r w:rsidR="00FD77EB">
        <w:rPr>
          <w:rFonts w:asciiTheme="majorHAnsi" w:hAnsiTheme="majorHAnsi"/>
          <w:sz w:val="22"/>
          <w:szCs w:val="22"/>
        </w:rPr>
        <w:t xml:space="preserve"> the previous three</w:t>
      </w:r>
      <w:r w:rsidRPr="001A63B0">
        <w:rPr>
          <w:rFonts w:asciiTheme="majorHAnsi" w:hAnsiTheme="majorHAnsi"/>
          <w:sz w:val="22"/>
          <w:szCs w:val="22"/>
        </w:rPr>
        <w:t xml:space="preserve"> year</w:t>
      </w:r>
      <w:r w:rsidR="00FD77EB">
        <w:rPr>
          <w:rFonts w:asciiTheme="majorHAnsi" w:hAnsiTheme="majorHAnsi"/>
          <w:sz w:val="22"/>
          <w:szCs w:val="22"/>
        </w:rPr>
        <w:t>s</w:t>
      </w:r>
      <w:bookmarkStart w:id="0" w:name="_GoBack"/>
      <w:bookmarkEnd w:id="0"/>
      <w:r w:rsidRPr="001A63B0">
        <w:rPr>
          <w:rFonts w:asciiTheme="majorHAnsi" w:hAnsiTheme="majorHAnsi"/>
          <w:sz w:val="22"/>
          <w:szCs w:val="22"/>
        </w:rPr>
        <w:t>.</w:t>
      </w:r>
    </w:p>
    <w:p w14:paraId="2241C5E1" w14:textId="21E45962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 xml:space="preserve">Figure. </w:t>
      </w:r>
      <w:proofErr w:type="spellStart"/>
      <w:proofErr w:type="gramStart"/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VicSPIN</w:t>
      </w:r>
      <w:proofErr w:type="spellEnd"/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 xml:space="preserve"> influenza-like illness (ILI) consultation proportion in Victoria, 201</w:t>
      </w:r>
      <w:r w:rsidR="00C65BDE">
        <w:rPr>
          <w:rFonts w:asciiTheme="majorHAnsi" w:hAnsiTheme="majorHAnsi"/>
          <w:i/>
          <w:color w:val="000090"/>
          <w:sz w:val="22"/>
          <w:szCs w:val="22"/>
          <w:lang w:val="en-AU"/>
        </w:rPr>
        <w:t>6-2017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  <w:proofErr w:type="gramEnd"/>
    </w:p>
    <w:tbl>
      <w:tblPr>
        <w:tblStyle w:val="TableGrid"/>
        <w:tblpPr w:leftFromText="180" w:rightFromText="180" w:vertAnchor="text" w:horzAnchor="page" w:tblpX="763" w:tblpY="6815"/>
        <w:tblW w:w="104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4"/>
        <w:gridCol w:w="1145"/>
        <w:gridCol w:w="993"/>
        <w:gridCol w:w="993"/>
        <w:gridCol w:w="993"/>
      </w:tblGrid>
      <w:tr w:rsidR="007A2D29" w:rsidRPr="00EC3BE3" w14:paraId="72712068" w14:textId="77777777" w:rsidTr="007A2D29">
        <w:tc>
          <w:tcPr>
            <w:tcW w:w="6334" w:type="dxa"/>
            <w:tcBorders>
              <w:top w:val="single" w:sz="12" w:space="0" w:color="auto"/>
              <w:bottom w:val="single" w:sz="12" w:space="0" w:color="auto"/>
            </w:tcBorders>
          </w:tcPr>
          <w:p w14:paraId="5009408D" w14:textId="77777777" w:rsidR="007A2D29" w:rsidRPr="00EC3BE3" w:rsidRDefault="007A2D29" w:rsidP="007A2D29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14:paraId="0DFE4734" w14:textId="77777777" w:rsidR="007A2D29" w:rsidRPr="00D57503" w:rsidRDefault="007A2D29" w:rsidP="007A2D29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6EFE5188" w14:textId="77777777" w:rsidR="007A2D29" w:rsidRPr="00D57503" w:rsidRDefault="007A2D29" w:rsidP="007A2D29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2D8ABEBA" w14:textId="77777777" w:rsidR="007A2D29" w:rsidRPr="00D57503" w:rsidRDefault="007A2D29" w:rsidP="007A2D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3EC3A3D6" w14:textId="77777777" w:rsidR="007A2D29" w:rsidRPr="00D57503" w:rsidRDefault="007A2D29" w:rsidP="007A2D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</w:t>
            </w:r>
          </w:p>
        </w:tc>
      </w:tr>
      <w:tr w:rsidR="007A2D29" w:rsidRPr="00EC3BE3" w14:paraId="7F3B45C7" w14:textId="77777777" w:rsidTr="007A2D29"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14:paraId="78F5238C" w14:textId="77777777" w:rsidR="007A2D29" w:rsidRPr="00EC3BE3" w:rsidRDefault="007A2D29" w:rsidP="007A2D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6F61B61B" w14:textId="77777777" w:rsidR="007A2D29" w:rsidRPr="00CF03C1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941A94" w14:textId="4510BF90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CC617A" w14:textId="2E91CA69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C46A9F" w14:textId="2A0EE27B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</w:tr>
      <w:tr w:rsidR="007A2D29" w:rsidRPr="00EC3BE3" w14:paraId="1DDBEA10" w14:textId="77777777" w:rsidTr="007A2D29"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</w:tcPr>
          <w:p w14:paraId="1FF0D26A" w14:textId="77777777" w:rsidR="007A2D29" w:rsidRPr="00EC3BE3" w:rsidRDefault="007A2D29" w:rsidP="007A2D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4C4EE5E" w14:textId="77777777" w:rsidR="007A2D29" w:rsidRPr="00CF03C1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  <w:r w:rsidRPr="00CF03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F97F63" w14:textId="77777777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98E0E5" w14:textId="0EE5A599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F86232" w14:textId="1B0EA4DE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</w:tr>
      <w:tr w:rsidR="007A2D29" w:rsidRPr="00EC3BE3" w14:paraId="5ADBE9F8" w14:textId="77777777" w:rsidTr="007A2D29">
        <w:tc>
          <w:tcPr>
            <w:tcW w:w="6334" w:type="dxa"/>
            <w:tcBorders>
              <w:top w:val="single" w:sz="4" w:space="0" w:color="auto"/>
            </w:tcBorders>
          </w:tcPr>
          <w:p w14:paraId="18AF2FBF" w14:textId="77777777" w:rsidR="007A2D29" w:rsidRDefault="007A2D29" w:rsidP="007A2D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peak ILI proportion observed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13C77440" w14:textId="77777777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 w:rsidRPr="00CF03C1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C38820" w14:textId="2B81B488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4A1B67" w14:textId="29F79728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0A07D9" w14:textId="1A6E9387" w:rsidR="007A2D29" w:rsidRDefault="007A2D29" w:rsidP="007A2D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</w:tbl>
    <w:p w14:paraId="5E9A7279" w14:textId="7B257127" w:rsidR="00303C90" w:rsidRPr="00013DA8" w:rsidRDefault="00303C90" w:rsidP="00303C90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FC6234">
        <w:rPr>
          <w:noProof/>
        </w:rPr>
        <w:drawing>
          <wp:inline distT="0" distB="0" distL="0" distR="0" wp14:anchorId="56A69C8D" wp14:editId="6F5C1C76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13DA8">
        <w:rPr>
          <w:rFonts w:asciiTheme="majorHAnsi" w:hAnsiTheme="majorHAnsi"/>
          <w:i/>
          <w:color w:val="000090"/>
          <w:lang w:val="en-AU"/>
        </w:rPr>
        <w:t xml:space="preserve">Table. </w:t>
      </w:r>
      <w:proofErr w:type="gramStart"/>
      <w:r w:rsidR="00E632D7">
        <w:rPr>
          <w:rFonts w:asciiTheme="majorHAnsi" w:hAnsiTheme="majorHAnsi"/>
          <w:i/>
          <w:color w:val="000090"/>
          <w:lang w:val="en-AU"/>
        </w:rPr>
        <w:t>I</w:t>
      </w:r>
      <w:r w:rsidRPr="00013DA8">
        <w:rPr>
          <w:rFonts w:asciiTheme="majorHAnsi" w:hAnsiTheme="majorHAnsi"/>
          <w:i/>
          <w:color w:val="000090"/>
          <w:lang w:val="en-AU"/>
        </w:rPr>
        <w:t>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D91FF2">
        <w:rPr>
          <w:rFonts w:asciiTheme="majorHAnsi" w:hAnsiTheme="majorHAnsi"/>
          <w:i/>
          <w:color w:val="000090"/>
          <w:lang w:val="en-AU"/>
        </w:rPr>
        <w:t>2</w:t>
      </w:r>
      <w:r w:rsidR="00E632D7">
        <w:rPr>
          <w:rFonts w:asciiTheme="majorHAnsi" w:hAnsiTheme="majorHAnsi"/>
          <w:i/>
          <w:color w:val="000090"/>
          <w:lang w:val="en-AU"/>
        </w:rPr>
        <w:t>7</w:t>
      </w:r>
      <w:r w:rsidR="005D75C1">
        <w:rPr>
          <w:rFonts w:asciiTheme="majorHAnsi" w:hAnsiTheme="majorHAnsi"/>
          <w:i/>
          <w:color w:val="000090"/>
          <w:lang w:val="en-AU"/>
        </w:rPr>
        <w:t xml:space="preserve"> August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D91FF2">
        <w:rPr>
          <w:rFonts w:asciiTheme="majorHAnsi" w:hAnsiTheme="majorHAnsi"/>
          <w:i/>
          <w:color w:val="000090"/>
          <w:lang w:val="en-AU"/>
        </w:rPr>
        <w:t>3</w:t>
      </w:r>
      <w:r w:rsidR="00E632D7">
        <w:rPr>
          <w:rFonts w:asciiTheme="majorHAnsi" w:hAnsiTheme="majorHAnsi"/>
          <w:i/>
          <w:color w:val="000090"/>
          <w:lang w:val="en-AU"/>
        </w:rPr>
        <w:t>4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="007A2D29">
        <w:rPr>
          <w:rFonts w:asciiTheme="majorHAnsi" w:hAnsiTheme="majorHAnsi"/>
          <w:i/>
          <w:color w:val="000090"/>
          <w:lang w:val="en-AU"/>
        </w:rPr>
        <w:t>,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</w:t>
      </w:r>
      <w:r w:rsidR="007A2D29">
        <w:rPr>
          <w:rFonts w:asciiTheme="majorHAnsi" w:hAnsiTheme="majorHAnsi"/>
          <w:i/>
          <w:color w:val="000090"/>
          <w:lang w:val="en-AU"/>
        </w:rPr>
        <w:t>2014 to</w:t>
      </w:r>
      <w:r w:rsidR="00C65BDE">
        <w:rPr>
          <w:rFonts w:asciiTheme="majorHAnsi" w:hAnsiTheme="majorHAnsi"/>
          <w:i/>
          <w:color w:val="000090"/>
          <w:lang w:val="en-AU"/>
        </w:rPr>
        <w:t xml:space="preserve"> 2017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  <w:proofErr w:type="gramEnd"/>
    </w:p>
    <w:p w14:paraId="3628A4EF" w14:textId="77777777" w:rsidR="00B0281A" w:rsidRDefault="00B028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0D18C06D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</w:t>
      </w:r>
      <w:r w:rsidR="00582652">
        <w:rPr>
          <w:rFonts w:asciiTheme="majorHAnsi" w:hAnsiTheme="majorHAnsi"/>
        </w:rPr>
        <w:t xml:space="preserve"> (DHHS)</w:t>
      </w:r>
      <w:r>
        <w:rPr>
          <w:rFonts w:asciiTheme="majorHAnsi" w:hAnsiTheme="majorHAnsi"/>
        </w:rPr>
        <w:t>, conduct surveillance to monitor influenza activity in Victoria.</w:t>
      </w:r>
    </w:p>
    <w:p w14:paraId="5B36BA5E" w14:textId="7DB55FA2" w:rsidR="00C72B9C" w:rsidRPr="00E632D7" w:rsidRDefault="00E632D7" w:rsidP="00E632D7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33D21">
        <w:rPr>
          <w:rFonts w:asciiTheme="majorHAnsi" w:hAnsiTheme="majorHAnsi"/>
        </w:rPr>
        <w:t xml:space="preserve">urveillance for influenza-like illness </w:t>
      </w:r>
      <w:r>
        <w:rPr>
          <w:rFonts w:asciiTheme="majorHAnsi" w:hAnsiTheme="majorHAnsi"/>
        </w:rPr>
        <w:t>is conducted on a number of</w:t>
      </w:r>
      <w:r w:rsidR="002501A7">
        <w:rPr>
          <w:rFonts w:asciiTheme="majorHAnsi" w:hAnsiTheme="majorHAnsi"/>
        </w:rPr>
        <w:t xml:space="preserve"> sources</w:t>
      </w:r>
      <w:r>
        <w:rPr>
          <w:rFonts w:asciiTheme="majorHAnsi" w:hAnsiTheme="majorHAnsi"/>
        </w:rPr>
        <w:t>. This page utilizes data from t</w:t>
      </w:r>
      <w:r w:rsidR="002501A7" w:rsidRPr="00E632D7">
        <w:rPr>
          <w:rFonts w:asciiTheme="majorHAnsi" w:hAnsiTheme="majorHAnsi"/>
        </w:rPr>
        <w:t xml:space="preserve">he </w:t>
      </w:r>
      <w:r w:rsidR="00833D21" w:rsidRPr="00E632D7">
        <w:rPr>
          <w:rFonts w:asciiTheme="majorHAnsi" w:hAnsiTheme="majorHAnsi"/>
          <w:i/>
        </w:rPr>
        <w:t>Victorian Sentinel Prac</w:t>
      </w:r>
      <w:r w:rsidR="002501A7" w:rsidRPr="00E632D7">
        <w:rPr>
          <w:rFonts w:asciiTheme="majorHAnsi" w:hAnsiTheme="majorHAnsi"/>
          <w:i/>
        </w:rPr>
        <w:t>tice Influenza Network (</w:t>
      </w:r>
      <w:proofErr w:type="spellStart"/>
      <w:r w:rsidR="002501A7" w:rsidRPr="00E632D7">
        <w:rPr>
          <w:rFonts w:asciiTheme="majorHAnsi" w:hAnsiTheme="majorHAnsi"/>
          <w:i/>
        </w:rPr>
        <w:t>VicSPIN</w:t>
      </w:r>
      <w:proofErr w:type="spellEnd"/>
      <w:r w:rsidR="002501A7" w:rsidRPr="00E632D7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>,</w:t>
      </w:r>
      <w:r w:rsidR="002501A7" w:rsidRPr="00E632D7">
        <w:rPr>
          <w:rFonts w:asciiTheme="majorHAnsi" w:hAnsiTheme="majorHAnsi"/>
        </w:rPr>
        <w:t xml:space="preserve"> a network of about </w:t>
      </w:r>
      <w:r w:rsidR="004C4FEA" w:rsidRPr="00E632D7">
        <w:rPr>
          <w:rFonts w:asciiTheme="majorHAnsi" w:hAnsiTheme="majorHAnsi"/>
        </w:rPr>
        <w:t>8</w:t>
      </w:r>
      <w:r w:rsidR="002501A7" w:rsidRPr="00E632D7">
        <w:rPr>
          <w:rFonts w:asciiTheme="majorHAnsi" w:hAnsiTheme="majorHAnsi"/>
        </w:rPr>
        <w:t xml:space="preserve">0 Victorian GPs who submit weekly reports about the proportion of their patients with influenza-like illness (a clinical syndrome used as a proxy for influenza activity) </w:t>
      </w:r>
      <w:r w:rsidR="00833D21" w:rsidRPr="00E632D7">
        <w:rPr>
          <w:rFonts w:asciiTheme="majorHAnsi" w:hAnsiTheme="majorHAnsi"/>
        </w:rPr>
        <w:t xml:space="preserve">and </w:t>
      </w:r>
      <w:r w:rsidR="002501A7" w:rsidRPr="00E632D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16118D45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detailed analysis about the influenza season from </w:t>
      </w:r>
      <w:proofErr w:type="spellStart"/>
      <w:r>
        <w:rPr>
          <w:rFonts w:asciiTheme="majorHAnsi" w:hAnsiTheme="majorHAnsi"/>
        </w:rPr>
        <w:t>VicSPIN</w:t>
      </w:r>
      <w:proofErr w:type="spellEnd"/>
      <w:r>
        <w:rPr>
          <w:rFonts w:asciiTheme="majorHAnsi" w:hAnsiTheme="majorHAnsi"/>
        </w:rPr>
        <w:t>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1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59645E">
        <w:rPr>
          <w:rFonts w:asciiTheme="majorHAnsi" w:hAnsiTheme="majorHAnsi" w:cs="Helvetica Neue"/>
          <w:color w:val="1A1A1A"/>
        </w:rPr>
        <w:t>Liz Lopez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2" w:history="1">
        <w:r w:rsidR="0059645E" w:rsidRPr="004F6ABE">
          <w:rPr>
            <w:rStyle w:val="Hyperlink"/>
            <w:rFonts w:asciiTheme="majorHAnsi" w:hAnsiTheme="majorHAnsi" w:cs="Helvetica Neue"/>
          </w:rPr>
          <w:t>lopez.e@unimelb.edu.au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2"/>
    <w:rsid w:val="00013DA8"/>
    <w:rsid w:val="00036610"/>
    <w:rsid w:val="00042B7E"/>
    <w:rsid w:val="0005328D"/>
    <w:rsid w:val="000660FF"/>
    <w:rsid w:val="000C07A2"/>
    <w:rsid w:val="000E2DF0"/>
    <w:rsid w:val="001038E5"/>
    <w:rsid w:val="001532DF"/>
    <w:rsid w:val="00176448"/>
    <w:rsid w:val="001A42C2"/>
    <w:rsid w:val="001A63B0"/>
    <w:rsid w:val="002031C5"/>
    <w:rsid w:val="002155EE"/>
    <w:rsid w:val="002501A7"/>
    <w:rsid w:val="00266C45"/>
    <w:rsid w:val="002802E5"/>
    <w:rsid w:val="00293D4F"/>
    <w:rsid w:val="00295980"/>
    <w:rsid w:val="00303C90"/>
    <w:rsid w:val="003101AF"/>
    <w:rsid w:val="0033727E"/>
    <w:rsid w:val="00340BDD"/>
    <w:rsid w:val="003425EA"/>
    <w:rsid w:val="00343039"/>
    <w:rsid w:val="003432CB"/>
    <w:rsid w:val="00377607"/>
    <w:rsid w:val="00381B74"/>
    <w:rsid w:val="00387814"/>
    <w:rsid w:val="003A2D2D"/>
    <w:rsid w:val="003B3B02"/>
    <w:rsid w:val="003B4B8F"/>
    <w:rsid w:val="003D3898"/>
    <w:rsid w:val="003E0ACE"/>
    <w:rsid w:val="0042144B"/>
    <w:rsid w:val="00437E27"/>
    <w:rsid w:val="004A33C2"/>
    <w:rsid w:val="004C4FEA"/>
    <w:rsid w:val="004D42ED"/>
    <w:rsid w:val="004E0E03"/>
    <w:rsid w:val="004F34B1"/>
    <w:rsid w:val="004F69FD"/>
    <w:rsid w:val="00507A5C"/>
    <w:rsid w:val="00526814"/>
    <w:rsid w:val="005327B0"/>
    <w:rsid w:val="0054168A"/>
    <w:rsid w:val="00582652"/>
    <w:rsid w:val="0059645E"/>
    <w:rsid w:val="005A5924"/>
    <w:rsid w:val="005A7220"/>
    <w:rsid w:val="005C2F4E"/>
    <w:rsid w:val="005D4344"/>
    <w:rsid w:val="005D75C1"/>
    <w:rsid w:val="005E093D"/>
    <w:rsid w:val="00647A00"/>
    <w:rsid w:val="00672620"/>
    <w:rsid w:val="00675898"/>
    <w:rsid w:val="00692D78"/>
    <w:rsid w:val="006A4357"/>
    <w:rsid w:val="006C6B81"/>
    <w:rsid w:val="006F7A12"/>
    <w:rsid w:val="00732117"/>
    <w:rsid w:val="00750A03"/>
    <w:rsid w:val="00751B26"/>
    <w:rsid w:val="0077026A"/>
    <w:rsid w:val="007804DC"/>
    <w:rsid w:val="007A2D29"/>
    <w:rsid w:val="007E2E0E"/>
    <w:rsid w:val="0080316E"/>
    <w:rsid w:val="00827C80"/>
    <w:rsid w:val="00833D21"/>
    <w:rsid w:val="008442DB"/>
    <w:rsid w:val="00862E6D"/>
    <w:rsid w:val="008705AE"/>
    <w:rsid w:val="00875FD8"/>
    <w:rsid w:val="00890E29"/>
    <w:rsid w:val="008B278A"/>
    <w:rsid w:val="008B4C08"/>
    <w:rsid w:val="009012CD"/>
    <w:rsid w:val="009535BE"/>
    <w:rsid w:val="009700B7"/>
    <w:rsid w:val="00975BE0"/>
    <w:rsid w:val="009A0700"/>
    <w:rsid w:val="009B0632"/>
    <w:rsid w:val="009B2A8C"/>
    <w:rsid w:val="009E2411"/>
    <w:rsid w:val="009F1D12"/>
    <w:rsid w:val="00A0106F"/>
    <w:rsid w:val="00A12E01"/>
    <w:rsid w:val="00A12EB8"/>
    <w:rsid w:val="00A553A5"/>
    <w:rsid w:val="00A60B25"/>
    <w:rsid w:val="00A73F94"/>
    <w:rsid w:val="00AC086B"/>
    <w:rsid w:val="00B0281A"/>
    <w:rsid w:val="00B04960"/>
    <w:rsid w:val="00C05CA5"/>
    <w:rsid w:val="00C20911"/>
    <w:rsid w:val="00C25DCC"/>
    <w:rsid w:val="00C522CB"/>
    <w:rsid w:val="00C65BDE"/>
    <w:rsid w:val="00C72B9C"/>
    <w:rsid w:val="00C85CA6"/>
    <w:rsid w:val="00CB3CEC"/>
    <w:rsid w:val="00CE5006"/>
    <w:rsid w:val="00CF03C1"/>
    <w:rsid w:val="00CF3619"/>
    <w:rsid w:val="00CF46ED"/>
    <w:rsid w:val="00D4137D"/>
    <w:rsid w:val="00D440C2"/>
    <w:rsid w:val="00D44BEE"/>
    <w:rsid w:val="00D57503"/>
    <w:rsid w:val="00D751F9"/>
    <w:rsid w:val="00D91FF2"/>
    <w:rsid w:val="00D9476F"/>
    <w:rsid w:val="00DC2712"/>
    <w:rsid w:val="00DE2D3A"/>
    <w:rsid w:val="00E2516A"/>
    <w:rsid w:val="00E315DF"/>
    <w:rsid w:val="00E55F92"/>
    <w:rsid w:val="00E632D7"/>
    <w:rsid w:val="00EC3784"/>
    <w:rsid w:val="00EC3BE3"/>
    <w:rsid w:val="00ED0CE8"/>
    <w:rsid w:val="00ED431D"/>
    <w:rsid w:val="00EE3322"/>
    <w:rsid w:val="00F07446"/>
    <w:rsid w:val="00F7026D"/>
    <w:rsid w:val="00F90C93"/>
    <w:rsid w:val="00FD77EB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drl.org.au/surveillance/influenza-surveillance/" TargetMode="External"/><Relationship Id="rId12" Type="http://schemas.openxmlformats.org/officeDocument/2006/relationships/hyperlink" Target="mailto:lopez.e@unimelb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6"/>
          <c:y val="0.0383938569828827"/>
          <c:w val="0.792774053287212"/>
          <c:h val="0.723777864832965"/>
        </c:manualLayout>
      </c:layout>
      <c:lineChart>
        <c:grouping val="standard"/>
        <c:varyColors val="0"/>
        <c:ser>
          <c:idx val="1"/>
          <c:order val="0"/>
          <c:tx>
            <c:strRef>
              <c:f>Table13[[#Headers],[2017 influenza like illness]]</c:f>
              <c:strCache>
                <c:ptCount val="1"/>
                <c:pt idx="0">
                  <c:v>2017 influenza 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Table13[2017 influenza-like illness]</c:f>
              <c:numCache>
                <c:formatCode>General</c:formatCode>
                <c:ptCount val="52"/>
                <c:pt idx="17">
                  <c:v>1.9</c:v>
                </c:pt>
                <c:pt idx="18">
                  <c:v>3.3</c:v>
                </c:pt>
                <c:pt idx="19">
                  <c:v>3.7</c:v>
                </c:pt>
                <c:pt idx="20">
                  <c:v>4.9</c:v>
                </c:pt>
                <c:pt idx="21">
                  <c:v>6.2</c:v>
                </c:pt>
                <c:pt idx="22">
                  <c:v>4.7</c:v>
                </c:pt>
                <c:pt idx="23">
                  <c:v>2.4</c:v>
                </c:pt>
                <c:pt idx="24">
                  <c:v>6.8</c:v>
                </c:pt>
                <c:pt idx="25">
                  <c:v>5.5</c:v>
                </c:pt>
                <c:pt idx="26">
                  <c:v>6.8</c:v>
                </c:pt>
                <c:pt idx="27">
                  <c:v>7.0</c:v>
                </c:pt>
                <c:pt idx="28">
                  <c:v>7.8</c:v>
                </c:pt>
                <c:pt idx="29">
                  <c:v>7.2</c:v>
                </c:pt>
                <c:pt idx="30">
                  <c:v>7.8</c:v>
                </c:pt>
                <c:pt idx="31">
                  <c:v>8.1</c:v>
                </c:pt>
                <c:pt idx="32">
                  <c:v>10.1</c:v>
                </c:pt>
                <c:pt idx="33">
                  <c:v>13.7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Table13[[#Headers],[2016 influenza like illness]]</c:f>
              <c:strCache>
                <c:ptCount val="1"/>
                <c:pt idx="0">
                  <c:v>2016 influenza like illness</c:v>
                </c:pt>
              </c:strCache>
            </c:strRef>
          </c:tx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Sheet1!$F$2:$F$53</c:f>
              <c:numCache>
                <c:formatCode>General</c:formatCode>
                <c:ptCount val="52"/>
                <c:pt idx="18" formatCode="0.0">
                  <c:v>1.2</c:v>
                </c:pt>
                <c:pt idx="19" formatCode="0.0">
                  <c:v>2.3</c:v>
                </c:pt>
                <c:pt idx="20" formatCode="0.0">
                  <c:v>3.72</c:v>
                </c:pt>
                <c:pt idx="21" formatCode="0.0">
                  <c:v>3.2</c:v>
                </c:pt>
                <c:pt idx="22" formatCode="0.0">
                  <c:v>4.4</c:v>
                </c:pt>
                <c:pt idx="23" formatCode="0.0">
                  <c:v>2.9</c:v>
                </c:pt>
                <c:pt idx="24" formatCode="0.0">
                  <c:v>4.8</c:v>
                </c:pt>
                <c:pt idx="25" formatCode="0.0">
                  <c:v>3.4</c:v>
                </c:pt>
                <c:pt idx="26">
                  <c:v>4.3</c:v>
                </c:pt>
                <c:pt idx="27">
                  <c:v>4.5</c:v>
                </c:pt>
                <c:pt idx="28">
                  <c:v>4.6</c:v>
                </c:pt>
                <c:pt idx="29">
                  <c:v>4.6</c:v>
                </c:pt>
                <c:pt idx="30">
                  <c:v>3.3</c:v>
                </c:pt>
                <c:pt idx="31">
                  <c:v>8.1</c:v>
                </c:pt>
                <c:pt idx="32">
                  <c:v>5.7</c:v>
                </c:pt>
                <c:pt idx="33">
                  <c:v>5.0</c:v>
                </c:pt>
                <c:pt idx="34">
                  <c:v>5.5</c:v>
                </c:pt>
                <c:pt idx="35">
                  <c:v>4.7</c:v>
                </c:pt>
                <c:pt idx="36">
                  <c:v>5.3</c:v>
                </c:pt>
                <c:pt idx="37">
                  <c:v>5.1</c:v>
                </c:pt>
                <c:pt idx="38">
                  <c:v>3.1</c:v>
                </c:pt>
                <c:pt idx="39">
                  <c:v>1.0</c:v>
                </c:pt>
                <c:pt idx="40">
                  <c:v>2.4</c:v>
                </c:pt>
                <c:pt idx="41">
                  <c:v>2.3</c:v>
                </c:pt>
                <c:pt idx="42">
                  <c:v>1.0</c:v>
                </c:pt>
                <c:pt idx="43">
                  <c:v>0.9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Table13[[#Headers],[2015 influenza like illness]]</c:f>
              <c:strCache>
                <c:ptCount val="1"/>
                <c:pt idx="0">
                  <c:v>2015 influenza like illness</c:v>
                </c:pt>
              </c:strCache>
            </c:strRef>
          </c:tx>
          <c:spPr>
            <a:ln w="12700">
              <a:solidFill>
                <a:schemeClr val="tx1">
                  <a:lumMod val="50000"/>
                  <a:lumOff val="50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Table13[2015 influenza like illness]</c:f>
              <c:numCache>
                <c:formatCode>General</c:formatCode>
                <c:ptCount val="53"/>
                <c:pt idx="17">
                  <c:v>1.6</c:v>
                </c:pt>
                <c:pt idx="18">
                  <c:v>3.1</c:v>
                </c:pt>
                <c:pt idx="19">
                  <c:v>2.4</c:v>
                </c:pt>
                <c:pt idx="20">
                  <c:v>2.3</c:v>
                </c:pt>
                <c:pt idx="21">
                  <c:v>3.1</c:v>
                </c:pt>
                <c:pt idx="22">
                  <c:v>3.4</c:v>
                </c:pt>
                <c:pt idx="23">
                  <c:v>3.1</c:v>
                </c:pt>
                <c:pt idx="24">
                  <c:v>2.8</c:v>
                </c:pt>
                <c:pt idx="25">
                  <c:v>2.9</c:v>
                </c:pt>
                <c:pt idx="26">
                  <c:v>5.9</c:v>
                </c:pt>
                <c:pt idx="27">
                  <c:v>4.6</c:v>
                </c:pt>
                <c:pt idx="28">
                  <c:v>5.7</c:v>
                </c:pt>
                <c:pt idx="29">
                  <c:v>5.2</c:v>
                </c:pt>
                <c:pt idx="30">
                  <c:v>7.4</c:v>
                </c:pt>
                <c:pt idx="31">
                  <c:v>8.6</c:v>
                </c:pt>
                <c:pt idx="32">
                  <c:v>10.1</c:v>
                </c:pt>
                <c:pt idx="33">
                  <c:v>8.5</c:v>
                </c:pt>
                <c:pt idx="34">
                  <c:v>7.9</c:v>
                </c:pt>
                <c:pt idx="35">
                  <c:v>10.5</c:v>
                </c:pt>
                <c:pt idx="36">
                  <c:v>8.0</c:v>
                </c:pt>
                <c:pt idx="37">
                  <c:v>6.7</c:v>
                </c:pt>
                <c:pt idx="38">
                  <c:v>5.7</c:v>
                </c:pt>
                <c:pt idx="39">
                  <c:v>2.6</c:v>
                </c:pt>
                <c:pt idx="40">
                  <c:v>4.4</c:v>
                </c:pt>
                <c:pt idx="41">
                  <c:v>1.8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Table13[[#Headers],[2014 influenza like illness]]</c:f>
              <c:strCache>
                <c:ptCount val="1"/>
                <c:pt idx="0">
                  <c:v>2014 influenza like illness</c:v>
                </c:pt>
              </c:strCache>
            </c:strRef>
          </c:tx>
          <c:spPr>
            <a:ln w="12700">
              <a:solidFill>
                <a:schemeClr val="tx1">
                  <a:lumMod val="50000"/>
                  <a:lumOff val="50000"/>
                </a:schemeClr>
              </a:solidFill>
              <a:prstDash val="sysDot"/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Table13[2014 influenza like illness]</c:f>
              <c:numCache>
                <c:formatCode>General</c:formatCode>
                <c:ptCount val="53"/>
                <c:pt idx="17" formatCode="0.0">
                  <c:v>2.82</c:v>
                </c:pt>
                <c:pt idx="18" formatCode="0.0">
                  <c:v>1.54</c:v>
                </c:pt>
                <c:pt idx="19" formatCode="0.0">
                  <c:v>1.47</c:v>
                </c:pt>
                <c:pt idx="20" formatCode="0.0">
                  <c:v>2.98</c:v>
                </c:pt>
                <c:pt idx="21" formatCode="0.0">
                  <c:v>2.53</c:v>
                </c:pt>
                <c:pt idx="22" formatCode="0.0">
                  <c:v>1.79</c:v>
                </c:pt>
                <c:pt idx="23" formatCode="0.0">
                  <c:v>3.51</c:v>
                </c:pt>
                <c:pt idx="24" formatCode="0.0">
                  <c:v>4.36</c:v>
                </c:pt>
                <c:pt idx="25" formatCode="0.0">
                  <c:v>4.12</c:v>
                </c:pt>
                <c:pt idx="26" formatCode="0.0">
                  <c:v>3.18</c:v>
                </c:pt>
                <c:pt idx="27" formatCode="0.0">
                  <c:v>3.49</c:v>
                </c:pt>
                <c:pt idx="28" formatCode="0.0">
                  <c:v>3.41</c:v>
                </c:pt>
                <c:pt idx="29" formatCode="0.0">
                  <c:v>4.99</c:v>
                </c:pt>
                <c:pt idx="30" formatCode="0.0">
                  <c:v>4.5</c:v>
                </c:pt>
                <c:pt idx="31" formatCode="0.0">
                  <c:v>5.0</c:v>
                </c:pt>
                <c:pt idx="32" formatCode="0.0">
                  <c:v>7.37</c:v>
                </c:pt>
                <c:pt idx="33" formatCode="0.0">
                  <c:v>8.720000000000001</c:v>
                </c:pt>
                <c:pt idx="34" formatCode="0.0">
                  <c:v>6.88</c:v>
                </c:pt>
                <c:pt idx="35" formatCode="0.0">
                  <c:v>7.12</c:v>
                </c:pt>
                <c:pt idx="36" formatCode="0.0">
                  <c:v>8.61</c:v>
                </c:pt>
                <c:pt idx="37" formatCode="0.0">
                  <c:v>5.45</c:v>
                </c:pt>
                <c:pt idx="38" formatCode="0.0">
                  <c:v>2.88</c:v>
                </c:pt>
                <c:pt idx="39" formatCode="0.0">
                  <c:v>3.04</c:v>
                </c:pt>
                <c:pt idx="40" formatCode="0.0">
                  <c:v>1.31</c:v>
                </c:pt>
                <c:pt idx="41" formatCode="0.0">
                  <c:v>0.9</c:v>
                </c:pt>
                <c:pt idx="4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9737288"/>
        <c:axId val="2096499096"/>
      </c:lineChart>
      <c:catAx>
        <c:axId val="2089737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9649909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0964990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ILI per 1,000 consultations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89737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8400116993273"/>
          <c:y val="0.0450155376714529"/>
          <c:w val="0.318806668616555"/>
          <c:h val="0.287934780828768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7A0AB-CB30-0D41-8A83-68279A9F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371</Words>
  <Characters>2116</Characters>
  <Application>Microsoft Macintosh Word</Application>
  <DocSecurity>0</DocSecurity>
  <Lines>17</Lines>
  <Paragraphs>4</Paragraphs>
  <ScaleCrop>false</ScaleCrop>
  <Company>VIDRL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5</cp:revision>
  <cp:lastPrinted>2016-09-09T05:16:00Z</cp:lastPrinted>
  <dcterms:created xsi:type="dcterms:W3CDTF">2017-09-05T03:32:00Z</dcterms:created>
  <dcterms:modified xsi:type="dcterms:W3CDTF">2017-09-05T04:35:00Z</dcterms:modified>
</cp:coreProperties>
</file>